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default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</w:pPr>
      <w:r>
        <w:rPr>
          <w:rFonts w:hint="eastAsia" w:ascii="仿宋_GB2312" w:hAnsi="宋体" w:eastAsia="仿宋_GB2312" w:cs="仿宋_GB2312"/>
          <w:i w:val="0"/>
          <w:iCs w:val="0"/>
          <w:caps w:val="0"/>
          <w:color w:val="000000"/>
          <w:spacing w:val="0"/>
          <w:sz w:val="31"/>
          <w:szCs w:val="31"/>
          <w:shd w:val="clear" w:fill="FFFFFF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手动密集架技术参数要求</w:t>
      </w:r>
      <w:bookmarkEnd w:id="0"/>
      <w:r>
        <w:rPr>
          <w:rFonts w:hint="eastAsia"/>
        </w:rPr>
        <w:t xml:space="preserve"> </w:t>
      </w:r>
    </w:p>
    <w:p>
      <w:pPr>
        <w:rPr>
          <w:rFonts w:hint="eastAsia"/>
        </w:rPr>
      </w:pPr>
    </w:p>
    <w:p>
      <w:pPr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一、总体技术依据</w:t>
      </w:r>
    </w:p>
    <w:p>
      <w:pPr>
        <w:ind w:firstLine="420" w:firstLineChars="200"/>
        <w:rPr>
          <w:rFonts w:hint="eastAsia"/>
          <w:lang w:eastAsia="zh-CN"/>
        </w:rPr>
      </w:pPr>
      <w:r>
        <w:rPr>
          <w:rFonts w:hint="eastAsia"/>
        </w:rPr>
        <w:t>本项目所有设备技术性能、材料工艺、安全标准严格执行国家现行标准，所有参数均为准入标准，允许供应商提供</w:t>
      </w:r>
      <w:r>
        <w:rPr>
          <w:rFonts w:hint="eastAsia"/>
          <w:lang w:val="en-US" w:eastAsia="zh-CN"/>
        </w:rPr>
        <w:t>优于标准</w:t>
      </w:r>
      <w:r>
        <w:rPr>
          <w:rFonts w:hint="eastAsia"/>
        </w:rPr>
        <w:t>配置</w:t>
      </w:r>
      <w:r>
        <w:rPr>
          <w:rFonts w:hint="eastAsia"/>
          <w:lang w:val="en-US" w:eastAsia="zh-CN"/>
        </w:rPr>
        <w:t>的</w:t>
      </w:r>
      <w:r>
        <w:rPr>
          <w:rFonts w:hint="eastAsia"/>
        </w:rPr>
        <w:t>产品</w:t>
      </w:r>
      <w:r>
        <w:rPr>
          <w:rFonts w:hint="eastAsia"/>
          <w:lang w:eastAsia="zh-CN"/>
        </w:rPr>
        <w:t>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执行标准： 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 GB/T 13667.3-2013《钢制书架 第3部分：手动密集书架》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2. GB/T 13667.1《钢制书架通用技术条件》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3. DA/T 7-2019《档案装具》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4. GB/T 708 冷轧钢板通用标准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5. GB/T 3325 金属家具通用安全规范</w:t>
      </w:r>
    </w:p>
    <w:p>
      <w:pPr>
        <w:rPr>
          <w:rFonts w:hint="eastAsia"/>
          <w:b/>
          <w:bCs/>
        </w:rPr>
      </w:pPr>
      <w:r>
        <w:rPr>
          <w:rFonts w:hint="eastAsia"/>
        </w:rPr>
        <w:t xml:space="preserve">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b/>
          <w:bCs/>
        </w:rPr>
        <w:t>二、采购规格及外形尺寸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 整体规格</w:t>
      </w:r>
      <w:r>
        <w:rPr>
          <w:rFonts w:hint="eastAsia"/>
          <w:lang w:eastAsia="zh-CN"/>
        </w:rPr>
        <w:t>：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1）</w:t>
      </w:r>
      <w:r>
        <w:rPr>
          <w:rFonts w:hint="eastAsia"/>
        </w:rPr>
        <w:t>总长6000mm×深度700mm×高度2800mm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双面存放，8层可调节层板，层距可自由调节；总计30列。</w:t>
      </w:r>
    </w:p>
    <w:p>
      <w:pPr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（2）</w:t>
      </w:r>
      <w:r>
        <w:rPr>
          <w:rFonts w:hint="eastAsia"/>
        </w:rPr>
        <w:t>总长6000mm×深度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00mm×高度2800mm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双面存放，7层可调节层板，层距可自由调节；总计10列。</w:t>
      </w:r>
    </w:p>
    <w:p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</w:rPr>
        <w:t>2. 结构形式：双面存放、手动移动式密集架</w:t>
      </w:r>
      <w:r>
        <w:rPr>
          <w:rFonts w:hint="eastAsia"/>
          <w:lang w:eastAsia="zh-CN"/>
        </w:rPr>
        <w:t>。</w:t>
      </w:r>
    </w:p>
    <w:p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3</w:t>
      </w:r>
      <w:r>
        <w:rPr>
          <w:rFonts w:hint="eastAsia"/>
        </w:rPr>
        <w:t>. 单元组成：整</w:t>
      </w:r>
      <w:r>
        <w:rPr>
          <w:rFonts w:hint="eastAsia"/>
          <w:lang w:val="en-US" w:eastAsia="zh-CN"/>
        </w:rPr>
        <w:t>列</w:t>
      </w:r>
      <w:r>
        <w:rPr>
          <w:rFonts w:hint="eastAsia"/>
        </w:rPr>
        <w:t>6米分为多标准单元组合拼装，整体平直、无明显拼接色差、无高低差</w:t>
      </w:r>
      <w:r>
        <w:rPr>
          <w:rFonts w:hint="eastAsia"/>
          <w:lang w:eastAsia="zh-CN"/>
        </w:rPr>
        <w:t>。</w:t>
      </w:r>
    </w:p>
    <w:p>
      <w:pPr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 xml:space="preserve">. 外形尺寸偏差：整体外形尺寸误差≤±2mm，立柱垂直度偏差≤2mm，拼缝间隙均匀≤2mm </w:t>
      </w:r>
      <w:r>
        <w:rPr>
          <w:rFonts w:hint="eastAsia"/>
          <w:lang w:eastAsia="zh-CN"/>
        </w:rPr>
        <w:t>。</w:t>
      </w:r>
    </w:p>
    <w:p>
      <w:pPr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三、主要材料配置及板材厚度</w:t>
      </w:r>
    </w:p>
    <w:p>
      <w:pPr>
        <w:ind w:firstLine="420" w:firstLineChars="200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所有钢材采用全新正品冷轧钢板，无翻新、无次品、无锈蚀、无起皮。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 立柱：≥1.5mm，一体折弯成型，竖向均匀冲孔，搁板高度可调；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2. 搁板：≥1.0mm，加强结构，整体成型无拼接；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3. 底盘主梁、承重底座：≥3.0mm，整体焊接成型，刚性充足；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4. 顶板、侧板、防尘板、门板、挂板：≥1.0mm；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5. 防倾倒装置：≥4.0mm钢板；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 xml:space="preserve">6. 轨道垫板：≥3.0mm冷轧钢板，导轨采用20×20mm实心方钢，表面防锈处理。 </w:t>
      </w:r>
    </w:p>
    <w:p>
      <w:pPr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四、承重性能</w:t>
      </w:r>
      <w:r>
        <w:rPr>
          <w:rFonts w:hint="eastAsia"/>
        </w:rPr>
        <w:t xml:space="preserve"> 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 双面搁板均布额定承重≥80kg/层；单面搁板均布载重≥40kg；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2. 每层满载静置24h，搁板最大挠度≤L/250，卸载后无裂纹、无永久塑性变形；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3. 整架全部层板满载状态下，架体无倾斜、扭曲、脱轨，水平施加规范拉力不倾倒。</w:t>
      </w:r>
    </w:p>
    <w:p>
      <w:pPr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五、传动与操作系统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 传动结构：链条、齿轮组合传动，传动轴采用优质圆钢，传动平稳、间隙均匀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2. 手摇装置：折叠式回弹摇柄，操作轻便，满载摇动无卡顿、无异响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3. 制动系统：每列配备独立刹车锁定装置，停靠后可稳固锁止，防止滑动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4. 行走轮：高强度耐磨轮，贴合轨道、静音运行、承重强、不易磨损</w:t>
      </w:r>
    </w:p>
    <w:p>
      <w:pPr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六、安全、防尘、防潮、防鼠结构（通用标配）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 防倾倒装置：每列配置国标防倒限位结构，与轨道匹配，杜绝倾覆风险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2. 列间配置弹性防撞、防尘密封胶条，抗老化、密封性好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3. 顶部全封闭防尘板、底部封闭式防鼠板，整体密闭性良好，防尘、防潮、防光、防鼠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4. 架体所有边角圆弧钝化处理，无尖锐棱角，保障使用安全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5. 首尾架配备整体安全锁，可整体锁闭管理</w:t>
      </w:r>
    </w:p>
    <w:p>
      <w:pPr>
        <w:ind w:firstLine="422" w:firstLineChars="200"/>
        <w:rPr>
          <w:rFonts w:hint="eastAsia"/>
        </w:rPr>
      </w:pPr>
      <w:r>
        <w:rPr>
          <w:rFonts w:hint="eastAsia"/>
          <w:b/>
          <w:bCs/>
        </w:rPr>
        <w:t>七、表面喷涂与防腐工艺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 板材经过脱脂、水洗、酸洗、中和、磷化/硅烷处理，彻底去除油污锈蚀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2. 采用环氧树脂静电粉末高温喷涂，环保无味、无甲醛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3. 涂层技术要求：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- 涂膜硬度≥2H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- 附着力达标、不易脱落、不起皮、不褪色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- 盐雾性能符合国标常规档案室使用要求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4. 颜色为标准亚光灰色（采购人现场确认同色系即可，不限定色卡品牌）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5. 成品表面平整、无色差、无颗粒、无流挂</w:t>
      </w:r>
    </w:p>
    <w:p>
      <w:pPr>
        <w:ind w:firstLine="422" w:firstLineChars="200"/>
        <w:rPr>
          <w:rFonts w:hint="eastAsia"/>
          <w:b/>
          <w:bCs/>
        </w:rPr>
      </w:pPr>
      <w:r>
        <w:rPr>
          <w:rFonts w:hint="eastAsia"/>
          <w:b/>
          <w:bCs/>
        </w:rPr>
        <w:t>八、质量、验收及资料要求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1. 供货产品全新正品、无瑕疵、无库存积压翻新设备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2. 供货须提供：产品合格证、出厂检测报告、材质证明、安装使用说明书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3. 验收严格按照 GB/T13667.3-2013 国标现场实测：板材厚度、承重、挠度、喷涂、传动性能</w:t>
      </w:r>
    </w:p>
    <w:p>
      <w:pPr>
        <w:ind w:firstLine="420" w:firstLineChars="200"/>
        <w:rPr>
          <w:rFonts w:hint="eastAsia"/>
        </w:rPr>
      </w:pPr>
      <w:r>
        <w:rPr>
          <w:rFonts w:hint="eastAsia"/>
        </w:rPr>
        <w:t>4. 所有配件为通用标准件，通用性强、后期可随意替换，无专用独家配件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16F80"/>
    <w:rsid w:val="5521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2026-08-19T12:10:00Z</dcterms:created>
  <dc:creator>巴山夜雨</dc:creator>
  <cp:lastModifiedBy>巴山夜雨</cp:lastModifiedBy>
  <dcterms:modified xsi:type="dcterms:W3CDTF">2026-08-19T12:11:13Z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